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81"/>
        <w:rPr>
          <w:sz w:val="20"/>
        </w:rPr>
      </w:pPr>
      <w:r>
        <w:rPr>
          <w:sz w:val="20"/>
        </w:rPr>
        <w:drawing>
          <wp:inline distT="0" distB="0" distL="0" distR="0">
            <wp:extent cx="521540" cy="6035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4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60" w:bottom="280" w:left="180" w:right="460"/>
        </w:sectPr>
      </w:pPr>
    </w:p>
    <w:p>
      <w:pPr>
        <w:spacing w:before="24"/>
        <w:ind w:left="1181" w:right="957" w:firstLine="940"/>
        <w:jc w:val="left"/>
        <w:rPr>
          <w:sz w:val="20"/>
        </w:rPr>
      </w:pPr>
      <w:r>
        <w:rPr>
          <w:sz w:val="20"/>
        </w:rPr>
        <w:t>МИНФИН РОССИИ</w:t>
      </w:r>
      <w:r>
        <w:rPr>
          <w:spacing w:val="1"/>
          <w:sz w:val="20"/>
        </w:rPr>
        <w:t> </w:t>
      </w:r>
      <w:r>
        <w:rPr>
          <w:sz w:val="20"/>
        </w:rPr>
        <w:t>ФЕДЕРАЛЬНАЯ</w:t>
      </w:r>
      <w:r>
        <w:rPr>
          <w:spacing w:val="-9"/>
          <w:sz w:val="20"/>
        </w:rPr>
        <w:t> </w:t>
      </w:r>
      <w:r>
        <w:rPr>
          <w:sz w:val="20"/>
        </w:rPr>
        <w:t>НАЛОГОВАЯ</w:t>
      </w:r>
      <w:r>
        <w:rPr>
          <w:spacing w:val="-6"/>
          <w:sz w:val="20"/>
        </w:rPr>
        <w:t> </w:t>
      </w:r>
      <w:r>
        <w:rPr>
          <w:sz w:val="20"/>
        </w:rPr>
        <w:t>СЛУЖБА</w:t>
      </w:r>
    </w:p>
    <w:p>
      <w:pPr>
        <w:spacing w:before="97"/>
        <w:ind w:left="221" w:right="0" w:firstLine="0"/>
        <w:jc w:val="center"/>
        <w:rPr>
          <w:b/>
          <w:sz w:val="16"/>
        </w:rPr>
      </w:pPr>
      <w:r>
        <w:rPr>
          <w:b/>
          <w:sz w:val="16"/>
        </w:rPr>
        <w:t>УПРАВЛЕНИЕ</w:t>
      </w:r>
    </w:p>
    <w:p>
      <w:pPr>
        <w:spacing w:before="0"/>
        <w:ind w:left="1414" w:right="1193" w:firstLine="0"/>
        <w:jc w:val="center"/>
        <w:rPr>
          <w:b/>
          <w:sz w:val="16"/>
        </w:rPr>
      </w:pPr>
      <w:r>
        <w:rPr>
          <w:b/>
          <w:sz w:val="16"/>
        </w:rPr>
        <w:t>ФЕДЕРАЛЬНОЙ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НАЛОГОВОЙ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СЛУЖБЫ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ИРКУТСКОЙ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ОБЛАСТИ</w:t>
      </w:r>
    </w:p>
    <w:p>
      <w:pPr>
        <w:spacing w:before="43"/>
        <w:ind w:left="221" w:right="0" w:firstLine="0"/>
        <w:jc w:val="center"/>
        <w:rPr>
          <w:sz w:val="16"/>
        </w:rPr>
      </w:pPr>
      <w:r>
        <w:rPr>
          <w:sz w:val="16"/>
        </w:rPr>
        <w:t>(УФНС</w:t>
      </w:r>
      <w:r>
        <w:rPr>
          <w:spacing w:val="-2"/>
          <w:sz w:val="16"/>
        </w:rPr>
        <w:t> </w:t>
      </w:r>
      <w:r>
        <w:rPr>
          <w:sz w:val="16"/>
        </w:rPr>
        <w:t>России</w:t>
      </w:r>
      <w:r>
        <w:rPr>
          <w:spacing w:val="-3"/>
          <w:sz w:val="16"/>
        </w:rPr>
        <w:t> </w:t>
      </w:r>
      <w:r>
        <w:rPr>
          <w:sz w:val="16"/>
        </w:rPr>
        <w:t>по</w:t>
      </w:r>
      <w:r>
        <w:rPr>
          <w:spacing w:val="-2"/>
          <w:sz w:val="16"/>
        </w:rPr>
        <w:t> </w:t>
      </w:r>
      <w:r>
        <w:rPr>
          <w:sz w:val="16"/>
        </w:rPr>
        <w:t>Иркутской</w:t>
      </w:r>
      <w:r>
        <w:rPr>
          <w:spacing w:val="34"/>
          <w:sz w:val="16"/>
        </w:rPr>
        <w:t> </w:t>
      </w:r>
      <w:r>
        <w:rPr>
          <w:sz w:val="16"/>
        </w:rPr>
        <w:t>области)</w:t>
      </w:r>
    </w:p>
    <w:p>
      <w:pPr>
        <w:spacing w:before="152"/>
        <w:ind w:left="221" w:right="0" w:firstLine="0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177800</wp:posOffset>
            </wp:positionH>
            <wp:positionV relativeFrom="paragraph">
              <wp:posOffset>450199</wp:posOffset>
            </wp:positionV>
            <wp:extent cx="3594100" cy="508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ЗАМЕСТИТЕЛЬ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РУКОВОДИТЕЛЯ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УПРАВЛЕНИЯ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pt;margin-top:6.953711pt;width:283pt;height:5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1321" w:right="1158" w:hanging="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ул. Декабрьских Событий, 47, г. Иркутск, 664007,</w:t>
                  </w:r>
                  <w:r>
                    <w:rPr>
                      <w:spacing w:val="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Телефон: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(3952)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28-94-71;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Телефакс: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(3952)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33-46-86;</w:t>
                  </w:r>
                </w:p>
                <w:p>
                  <w:pPr>
                    <w:spacing w:line="161" w:lineRule="exact" w:before="0"/>
                    <w:ind w:left="195" w:right="0" w:firstLine="0"/>
                    <w:jc w:val="center"/>
                    <w:rPr>
                      <w:sz w:val="14"/>
                    </w:rPr>
                  </w:pPr>
                  <w:hyperlink r:id="rId7">
                    <w:r>
                      <w:rPr>
                        <w:sz w:val="14"/>
                      </w:rPr>
                      <w:t>www.nalog.gov.ru</w:t>
                    </w:r>
                  </w:hyperlink>
                </w:p>
                <w:p>
                  <w:pPr>
                    <w:pStyle w:val="BodyText"/>
                    <w:spacing w:before="9"/>
                    <w:rPr>
                      <w:sz w:val="18"/>
                    </w:rPr>
                  </w:pPr>
                </w:p>
                <w:p>
                  <w:pPr>
                    <w:tabs>
                      <w:tab w:pos="1681" w:val="left" w:leader="none"/>
                      <w:tab w:pos="4379" w:val="left" w:leader="none"/>
                    </w:tabs>
                    <w:spacing w:before="0"/>
                    <w:ind w:left="212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182" w:val="left" w:leader="none"/>
          <w:tab w:pos="4439" w:val="left" w:leader="none"/>
        </w:tabs>
        <w:spacing w:before="0"/>
        <w:ind w:left="381" w:right="0" w:firstLine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№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24"/>
        <w:ind w:left="100"/>
      </w:pPr>
      <w:r>
        <w:rPr/>
        <w:br w:type="column"/>
      </w:r>
      <w:r>
        <w:rPr/>
        <w:t>Председателю</w:t>
      </w:r>
    </w:p>
    <w:p>
      <w:pPr>
        <w:pStyle w:val="BodyText"/>
        <w:ind w:left="100" w:right="1083"/>
      </w:pPr>
      <w:r>
        <w:rPr/>
        <w:t>Ассоциации муниципальных</w:t>
      </w:r>
      <w:r>
        <w:rPr>
          <w:spacing w:val="1"/>
        </w:rPr>
        <w:t> </w:t>
      </w:r>
      <w:r>
        <w:rPr/>
        <w:t>образований Иркутской области</w:t>
      </w:r>
      <w:r>
        <w:rPr>
          <w:spacing w:val="-67"/>
        </w:rPr>
        <w:t> </w:t>
      </w:r>
      <w:r>
        <w:rPr/>
        <w:t>В.А.</w:t>
      </w:r>
      <w:r>
        <w:rPr>
          <w:spacing w:val="-1"/>
        </w:rPr>
        <w:t> </w:t>
      </w:r>
      <w:r>
        <w:rPr/>
        <w:t>Семенову</w:t>
      </w:r>
    </w:p>
    <w:p>
      <w:pPr>
        <w:pStyle w:val="BodyText"/>
        <w:spacing w:before="1"/>
        <w:ind w:left="100"/>
      </w:pPr>
      <w:hyperlink r:id="rId8">
        <w:r>
          <w:rPr/>
          <w:t>amioirk@list.ru</w:t>
        </w:r>
      </w:hyperlink>
    </w:p>
    <w:p>
      <w:pPr>
        <w:spacing w:after="0"/>
        <w:sectPr>
          <w:type w:val="continuous"/>
          <w:pgSz w:w="11910" w:h="16840"/>
          <w:pgMar w:top="360" w:bottom="280" w:left="180" w:right="460"/>
          <w:cols w:num="2" w:equalWidth="0">
            <w:col w:w="5800" w:space="389"/>
            <w:col w:w="5081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before="91"/>
        <w:ind w:left="991" w:right="0" w:firstLine="0"/>
        <w:jc w:val="lef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льготе</w:t>
      </w:r>
      <w:r>
        <w:rPr>
          <w:spacing w:val="-3"/>
          <w:sz w:val="20"/>
        </w:rPr>
        <w:t> </w:t>
      </w:r>
      <w:r>
        <w:rPr>
          <w:sz w:val="20"/>
        </w:rPr>
        <w:t>неприменения</w:t>
      </w:r>
      <w:r>
        <w:rPr>
          <w:spacing w:val="-4"/>
          <w:sz w:val="20"/>
        </w:rPr>
        <w:t> </w:t>
      </w:r>
      <w:r>
        <w:rPr>
          <w:sz w:val="20"/>
        </w:rPr>
        <w:t>ККТ на</w:t>
      </w:r>
      <w:r>
        <w:rPr>
          <w:spacing w:val="-3"/>
          <w:sz w:val="20"/>
        </w:rPr>
        <w:t> </w:t>
      </w:r>
      <w:r>
        <w:rPr>
          <w:sz w:val="20"/>
        </w:rPr>
        <w:t>рынках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920"/>
      </w:pPr>
      <w:r>
        <w:rPr/>
        <w:t>Уважаемый</w:t>
      </w:r>
      <w:r>
        <w:rPr>
          <w:spacing w:val="-1"/>
        </w:rPr>
        <w:t> </w:t>
      </w:r>
      <w:r>
        <w:rPr/>
        <w:t>Вадим</w:t>
      </w:r>
      <w:r>
        <w:rPr>
          <w:spacing w:val="-4"/>
        </w:rPr>
        <w:t> </w:t>
      </w:r>
      <w:r>
        <w:rPr/>
        <w:t>Александрович!</w:t>
      </w:r>
    </w:p>
    <w:p>
      <w:pPr>
        <w:pStyle w:val="BodyText"/>
        <w:spacing w:before="1"/>
      </w:pPr>
    </w:p>
    <w:p>
      <w:pPr>
        <w:pStyle w:val="BodyText"/>
        <w:ind w:left="952" w:right="101" w:firstLine="708"/>
        <w:jc w:val="both"/>
      </w:pPr>
      <w:r>
        <w:rPr/>
        <w:t>УФНС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Иркутской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Управление)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деятельности рабочей группы по реализации проводимого проекта по исключению</w:t>
      </w:r>
      <w:r>
        <w:rPr>
          <w:spacing w:val="1"/>
        </w:rPr>
        <w:t> </w:t>
      </w:r>
      <w:r>
        <w:rPr/>
        <w:t>недобросовестного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рынках</w:t>
      </w:r>
      <w:r>
        <w:rPr>
          <w:spacing w:val="1"/>
        </w:rPr>
        <w:t> </w:t>
      </w:r>
      <w:r>
        <w:rPr/>
        <w:t>Иркутской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сообщает,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Думу</w:t>
      </w:r>
      <w:r>
        <w:rPr>
          <w:spacing w:val="1"/>
        </w:rPr>
        <w:t> </w:t>
      </w:r>
      <w:r>
        <w:rPr/>
        <w:t>Российской Федерации поправки в Федеральный закон от 22.05.2003 № 54-ФЗ «О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контрольно-кассовой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 Федерации» (далее – Закон № 54-ФЗ), в части трансформации льготы,</w:t>
      </w:r>
      <w:r>
        <w:rPr>
          <w:spacing w:val="1"/>
        </w:rPr>
        <w:t> </w:t>
      </w:r>
      <w:r>
        <w:rPr/>
        <w:t>предоставляющей право не применять контрольно-кассовую технику на розничных</w:t>
      </w:r>
      <w:r>
        <w:rPr>
          <w:spacing w:val="1"/>
        </w:rPr>
        <w:t> </w:t>
      </w:r>
      <w:r>
        <w:rPr/>
        <w:t>рынках,</w:t>
      </w:r>
      <w:r>
        <w:rPr>
          <w:spacing w:val="-2"/>
        </w:rPr>
        <w:t> </w:t>
      </w:r>
      <w:r>
        <w:rPr/>
        <w:t>ярмарках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выставочных</w:t>
      </w:r>
      <w:r>
        <w:rPr>
          <w:spacing w:val="-3"/>
        </w:rPr>
        <w:t> </w:t>
      </w:r>
      <w:r>
        <w:rPr/>
        <w:t>комплексах.</w:t>
      </w:r>
    </w:p>
    <w:p>
      <w:pPr>
        <w:pStyle w:val="BodyText"/>
        <w:ind w:left="952" w:right="103" w:firstLine="708"/>
        <w:jc w:val="both"/>
      </w:pPr>
      <w:r>
        <w:rPr/>
        <w:t>Указанные поправки в пункт 2 статьи 2 Закона № 54-ФЗ предусматривают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неприменения</w:t>
      </w:r>
      <w:r>
        <w:rPr>
          <w:spacing w:val="1"/>
        </w:rPr>
        <w:t> </w:t>
      </w:r>
      <w:r>
        <w:rPr/>
        <w:t>контрольно-кассовой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предпринимателей,</w:t>
      </w:r>
      <w:r>
        <w:rPr>
          <w:spacing w:val="1"/>
        </w:rPr>
        <w:t> </w:t>
      </w:r>
      <w:r>
        <w:rPr/>
        <w:t>применяющих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налогообложения в виде единого сельскохозяйственного налога (далее</w:t>
      </w:r>
      <w:r>
        <w:rPr>
          <w:spacing w:val="70"/>
        </w:rPr>
        <w:t> </w:t>
      </w:r>
      <w:r>
        <w:rPr/>
        <w:t>– ЕСХН),</w:t>
      </w:r>
      <w:r>
        <w:rPr>
          <w:spacing w:val="1"/>
        </w:rPr>
        <w:t> </w:t>
      </w:r>
      <w:r>
        <w:rPr/>
        <w:t>при торговле продовольственными товарами на розничных рынках, ярмарках и в</w:t>
      </w:r>
      <w:r>
        <w:rPr>
          <w:spacing w:val="1"/>
        </w:rPr>
        <w:t> </w:t>
      </w:r>
      <w:r>
        <w:rPr/>
        <w:t>выставочных комплексах с торговых мест площадью не более 15 кв. м. (включая</w:t>
      </w:r>
      <w:r>
        <w:rPr>
          <w:spacing w:val="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товара).</w:t>
      </w:r>
    </w:p>
    <w:p>
      <w:pPr>
        <w:pStyle w:val="BodyText"/>
        <w:ind w:left="952" w:right="105" w:firstLine="708"/>
        <w:jc w:val="both"/>
      </w:pPr>
      <w:r>
        <w:rPr/>
        <w:t>Налогоплательщиками</w:t>
      </w:r>
      <w:r>
        <w:rPr>
          <w:spacing w:val="1"/>
        </w:rPr>
        <w:t> </w:t>
      </w:r>
      <w:r>
        <w:rPr/>
        <w:t>ЕСХН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предприниматели,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сельскохозяйственными</w:t>
      </w:r>
      <w:r>
        <w:rPr>
          <w:spacing w:val="1"/>
        </w:rPr>
        <w:t> </w:t>
      </w:r>
      <w:r>
        <w:rPr/>
        <w:t>товаропроизводителями.</w:t>
      </w:r>
      <w:r>
        <w:rPr>
          <w:spacing w:val="-67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отнесения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сельскохозяйственным товаропроизводителям раскрыты в статье 346.2 Налогового</w:t>
      </w:r>
      <w:r>
        <w:rPr>
          <w:spacing w:val="1"/>
        </w:rPr>
        <w:t> </w:t>
      </w:r>
      <w:r>
        <w:rPr/>
        <w:t>кодекса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 (далее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Налоговый</w:t>
      </w:r>
      <w:r>
        <w:rPr>
          <w:spacing w:val="-1"/>
        </w:rPr>
        <w:t> </w:t>
      </w:r>
      <w:r>
        <w:rPr/>
        <w:t>кодекс).</w:t>
      </w:r>
    </w:p>
    <w:p>
      <w:pPr>
        <w:pStyle w:val="BodyText"/>
        <w:spacing w:before="1"/>
        <w:ind w:left="952" w:right="110" w:firstLine="708"/>
        <w:jc w:val="both"/>
      </w:pPr>
      <w:r>
        <w:rPr/>
        <w:t>Переход на уплату ЕСХН осуществляется организациями и индивидуальными</w:t>
      </w:r>
      <w:r>
        <w:rPr>
          <w:spacing w:val="1"/>
        </w:rPr>
        <w:t> </w:t>
      </w:r>
      <w:r>
        <w:rPr/>
        <w:t>предпринимателями добровольно, путем подачи в налоговые органы уведомления о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ЕСХН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календарному году, начиная с которого они переходят на уплату ЕСХН (часть 5</w:t>
      </w:r>
      <w:r>
        <w:rPr>
          <w:spacing w:val="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346.2 Налогового</w:t>
      </w:r>
      <w:r>
        <w:rPr>
          <w:spacing w:val="-3"/>
        </w:rPr>
        <w:t> </w:t>
      </w:r>
      <w:r>
        <w:rPr/>
        <w:t>кодекса,</w:t>
      </w:r>
      <w:r>
        <w:rPr>
          <w:spacing w:val="-1"/>
        </w:rPr>
        <w:t> </w:t>
      </w:r>
      <w:r>
        <w:rPr/>
        <w:t>статья</w:t>
      </w:r>
      <w:r>
        <w:rPr>
          <w:spacing w:val="-2"/>
        </w:rPr>
        <w:t> </w:t>
      </w:r>
      <w:r>
        <w:rPr/>
        <w:t>346.3 Налогового</w:t>
      </w:r>
      <w:r>
        <w:rPr>
          <w:spacing w:val="3"/>
        </w:rPr>
        <w:t> </w:t>
      </w:r>
      <w:r>
        <w:rPr/>
        <w:t>кодекса).</w:t>
      </w:r>
    </w:p>
    <w:p>
      <w:pPr>
        <w:spacing w:after="0"/>
        <w:jc w:val="both"/>
        <w:sectPr>
          <w:type w:val="continuous"/>
          <w:pgSz w:w="11910" w:h="16840"/>
          <w:pgMar w:top="360" w:bottom="280" w:left="180" w:right="460"/>
        </w:sectPr>
      </w:pPr>
    </w:p>
    <w:p>
      <w:pPr>
        <w:spacing w:before="73"/>
        <w:ind w:left="845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47"/>
        <w:ind w:left="952" w:right="109" w:firstLine="708"/>
        <w:jc w:val="both"/>
      </w:pP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предприниматели,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уведомившие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уплату</w:t>
      </w:r>
      <w:r>
        <w:rPr>
          <w:spacing w:val="1"/>
        </w:rPr>
        <w:t> </w:t>
      </w:r>
      <w:r>
        <w:rPr/>
        <w:t>ЕСХН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налогоплательщиками</w:t>
      </w:r>
      <w:r>
        <w:rPr>
          <w:spacing w:val="-1"/>
        </w:rPr>
        <w:t> </w:t>
      </w:r>
      <w:r>
        <w:rPr/>
        <w:t>ЕСХН</w:t>
      </w:r>
      <w:r>
        <w:rPr>
          <w:spacing w:val="-2"/>
        </w:rPr>
        <w:t> </w:t>
      </w:r>
      <w:r>
        <w:rPr/>
        <w:t>(пункт 3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346.3</w:t>
      </w:r>
      <w:r>
        <w:rPr>
          <w:spacing w:val="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кодекса).</w:t>
      </w:r>
    </w:p>
    <w:p>
      <w:pPr>
        <w:pStyle w:val="BodyText"/>
        <w:spacing w:before="2"/>
        <w:ind w:left="952" w:right="109" w:firstLine="708"/>
        <w:jc w:val="both"/>
      </w:pPr>
      <w:r>
        <w:rPr/>
        <w:t>В этой связи, если налогоплательщик подпадает под критерии льготы, 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ЕСХН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-67"/>
        </w:rPr>
        <w:t> </w:t>
      </w:r>
      <w:r>
        <w:rPr/>
        <w:t>поправками льготой, то он вправе реализовать свое право по переходу на ЕСХН с</w:t>
      </w:r>
      <w:r>
        <w:rPr>
          <w:spacing w:val="1"/>
        </w:rPr>
        <w:t> </w:t>
      </w:r>
      <w:r>
        <w:rPr/>
        <w:t>01.01.2022</w:t>
      </w:r>
      <w:r>
        <w:rPr>
          <w:spacing w:val="-2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уведомления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3"/>
        </w:rPr>
        <w:t> </w:t>
      </w:r>
      <w:r>
        <w:rPr/>
        <w:t>31.12.2021.</w:t>
      </w:r>
    </w:p>
    <w:p>
      <w:pPr>
        <w:pStyle w:val="BodyText"/>
        <w:ind w:left="952" w:right="107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затрагивает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54-ФЗ,</w:t>
      </w:r>
      <w:r>
        <w:rPr>
          <w:spacing w:val="1"/>
        </w:rPr>
        <w:t> </w:t>
      </w:r>
      <w:r>
        <w:rPr/>
        <w:t>обязывающего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 предпринимателей на розничных рынках, ярмарках, в выставочных</w:t>
      </w:r>
      <w:r>
        <w:rPr>
          <w:spacing w:val="-67"/>
        </w:rPr>
        <w:t> </w:t>
      </w:r>
      <w:r>
        <w:rPr/>
        <w:t>комплексах,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территориях,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торговли, применять контрольно-кассовую технику при осуществлении расчетов за</w:t>
      </w:r>
      <w:r>
        <w:rPr>
          <w:spacing w:val="1"/>
        </w:rPr>
        <w:t> </w:t>
      </w:r>
      <w:r>
        <w:rPr/>
        <w:t>товары, подлежащие в соответствии с законодательством Российской Федерации</w:t>
      </w:r>
      <w:r>
        <w:rPr>
          <w:spacing w:val="1"/>
        </w:rPr>
        <w:t> </w:t>
      </w:r>
      <w:r>
        <w:rPr/>
        <w:t>маркировке</w:t>
      </w:r>
      <w:r>
        <w:rPr>
          <w:spacing w:val="-1"/>
        </w:rPr>
        <w:t> </w:t>
      </w:r>
      <w:r>
        <w:rPr/>
        <w:t>средствами идентификации.</w:t>
      </w:r>
    </w:p>
    <w:p>
      <w:pPr>
        <w:pStyle w:val="BodyText"/>
        <w:ind w:left="952" w:right="110" w:firstLine="708"/>
        <w:jc w:val="both"/>
      </w:pPr>
      <w:r>
        <w:rPr/>
        <w:t>Одновременно</w:t>
      </w:r>
      <w:r>
        <w:rPr>
          <w:spacing w:val="1"/>
        </w:rPr>
        <w:t> </w:t>
      </w: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01.01.2019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предприниматели,</w:t>
      </w:r>
      <w:r>
        <w:rPr>
          <w:spacing w:val="1"/>
        </w:rPr>
        <w:t> </w:t>
      </w:r>
      <w:r>
        <w:rPr/>
        <w:t>применяющие</w:t>
      </w:r>
      <w:r>
        <w:rPr>
          <w:spacing w:val="1"/>
        </w:rPr>
        <w:t> </w:t>
      </w:r>
      <w:r>
        <w:rPr/>
        <w:t>ЕСХН,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плательщиками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-2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 НДС).</w:t>
      </w:r>
    </w:p>
    <w:p>
      <w:pPr>
        <w:pStyle w:val="BodyText"/>
        <w:ind w:left="952" w:right="108" w:firstLine="708"/>
        <w:jc w:val="both"/>
      </w:pPr>
      <w:r>
        <w:rPr/>
        <w:t>Налогоплательщики</w:t>
      </w:r>
      <w:r>
        <w:rPr>
          <w:spacing w:val="1"/>
        </w:rPr>
        <w:t> </w:t>
      </w:r>
      <w:r>
        <w:rPr/>
        <w:t>ЕСХН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освобождение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обязанностей налогоплательщика, связанных с исчислением и уплатой НДС, если</w:t>
      </w:r>
      <w:r>
        <w:rPr>
          <w:spacing w:val="1"/>
        </w:rPr>
        <w:t> </w:t>
      </w:r>
      <w:r>
        <w:rPr/>
        <w:t>такое право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же</w:t>
      </w:r>
      <w:r>
        <w:rPr>
          <w:spacing w:val="1"/>
        </w:rPr>
        <w:t> </w:t>
      </w:r>
      <w:r>
        <w:rPr/>
        <w:t>календарном году,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 переход</w:t>
      </w:r>
      <w:r>
        <w:rPr>
          <w:spacing w:val="71"/>
        </w:rPr>
        <w:t> </w:t>
      </w:r>
      <w:r>
        <w:rPr/>
        <w:t>на</w:t>
      </w:r>
      <w:r>
        <w:rPr>
          <w:spacing w:val="70"/>
        </w:rPr>
        <w:t> </w:t>
      </w:r>
      <w:r>
        <w:rPr/>
        <w:t>уплату</w:t>
      </w:r>
      <w:r>
        <w:rPr>
          <w:spacing w:val="1"/>
        </w:rPr>
        <w:t> </w:t>
      </w:r>
      <w:r>
        <w:rPr/>
        <w:t>ЕСХН, или если</w:t>
      </w:r>
      <w:r>
        <w:rPr>
          <w:spacing w:val="1"/>
        </w:rPr>
        <w:t> </w:t>
      </w:r>
      <w:r>
        <w:rPr/>
        <w:t>за предшествующий налоговый период по ЕСХН сумма дохода,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(работ,</w:t>
      </w:r>
      <w:r>
        <w:rPr>
          <w:spacing w:val="1"/>
        </w:rPr>
        <w:t> </w:t>
      </w:r>
      <w:r>
        <w:rPr/>
        <w:t>услуг)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предпринимательской деятельности, в отношении которых применяется ЕСХН, без</w:t>
      </w:r>
      <w:r>
        <w:rPr>
          <w:spacing w:val="1"/>
        </w:rPr>
        <w:t> </w:t>
      </w:r>
      <w:r>
        <w:rPr/>
        <w:t>учета НДС не превысит в совокупности: 80 млн. руб. за 2020 год, 70 млн. руб. за</w:t>
      </w:r>
      <w:r>
        <w:rPr>
          <w:spacing w:val="1"/>
        </w:rPr>
        <w:t> </w:t>
      </w:r>
      <w:r>
        <w:rPr/>
        <w:t>2021 год. Порядок и условия реализации и прекращения права освобождения от</w:t>
      </w:r>
      <w:r>
        <w:rPr>
          <w:spacing w:val="1"/>
        </w:rPr>
        <w:t> </w:t>
      </w:r>
      <w:r>
        <w:rPr/>
        <w:t>исполнения обязанностей налогоплательщика, связанных с исчислением и уплатой</w:t>
      </w:r>
      <w:r>
        <w:rPr>
          <w:spacing w:val="1"/>
        </w:rPr>
        <w:t> </w:t>
      </w:r>
      <w:r>
        <w:rPr/>
        <w:t>НДС,</w:t>
      </w:r>
      <w:r>
        <w:rPr>
          <w:spacing w:val="-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145</w:t>
      </w:r>
      <w:r>
        <w:rPr>
          <w:spacing w:val="1"/>
        </w:rPr>
        <w:t> </w:t>
      </w:r>
      <w:r>
        <w:rPr/>
        <w:t>НК РФ.</w:t>
      </w:r>
    </w:p>
    <w:p>
      <w:pPr>
        <w:pStyle w:val="BodyText"/>
        <w:ind w:left="952" w:right="10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субъектов,</w:t>
      </w:r>
      <w:r>
        <w:rPr>
          <w:spacing w:val="1"/>
        </w:rPr>
        <w:t> </w:t>
      </w:r>
      <w:r>
        <w:rPr/>
        <w:t>подпадающих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льготы,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изменениях,</w:t>
      </w:r>
      <w:r>
        <w:rPr>
          <w:spacing w:val="1"/>
        </w:rPr>
        <w:t> </w:t>
      </w:r>
      <w:r>
        <w:rPr/>
        <w:t>вносимых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контрольно-кассовой</w:t>
      </w:r>
      <w:r>
        <w:rPr>
          <w:spacing w:val="1"/>
        </w:rPr>
        <w:t> </w:t>
      </w:r>
      <w:r>
        <w:rPr/>
        <w:t>техники, просим разместить вышеизложенную информацию на интернет-сайте и в</w:t>
      </w:r>
      <w:r>
        <w:rPr>
          <w:spacing w:val="1"/>
        </w:rPr>
        <w:t> </w:t>
      </w:r>
      <w:r>
        <w:rPr/>
        <w:t>выпускаемых периодических изданиях, а также проинформировать Управление о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письма.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952"/>
      </w:pPr>
      <w:r>
        <w:rPr/>
        <w:t>Советник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гражданской</w:t>
      </w:r>
    </w:p>
    <w:p>
      <w:pPr>
        <w:pStyle w:val="BodyText"/>
        <w:tabs>
          <w:tab w:pos="9081" w:val="left" w:leader="none"/>
        </w:tabs>
        <w:spacing w:before="1"/>
        <w:ind w:left="952"/>
      </w:pPr>
      <w:r>
        <w:rPr/>
        <w:t>службы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класса</w:t>
        <w:tab/>
        <w:t>И.В. Лебедева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1"/>
        <w:ind w:left="952" w:right="8992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3594100</wp:posOffset>
            </wp:positionH>
            <wp:positionV relativeFrom="paragraph">
              <wp:posOffset>-522859</wp:posOffset>
            </wp:positionV>
            <wp:extent cx="2590800" cy="10795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Е.П. Синьков</w:t>
      </w:r>
      <w:r>
        <w:rPr>
          <w:spacing w:val="1"/>
          <w:sz w:val="20"/>
        </w:rPr>
        <w:t> </w:t>
      </w:r>
      <w:r>
        <w:rPr>
          <w:sz w:val="20"/>
        </w:rPr>
        <w:t>(3952)</w:t>
      </w:r>
      <w:r>
        <w:rPr>
          <w:spacing w:val="-11"/>
          <w:sz w:val="20"/>
        </w:rPr>
        <w:t> </w:t>
      </w:r>
      <w:r>
        <w:rPr>
          <w:sz w:val="20"/>
        </w:rPr>
        <w:t>28-94-12</w:t>
      </w:r>
    </w:p>
    <w:sectPr>
      <w:pgSz w:w="11910" w:h="16840"/>
      <w:pgMar w:top="620" w:bottom="28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alog.gov.ru/" TargetMode="External"/><Relationship Id="rId8" Type="http://schemas.openxmlformats.org/officeDocument/2006/relationships/hyperlink" Target="mailto:amioirk@list.ru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CN=Дмитрий Селеверстов/OU=ЦА/O=МНС</dc:creator>
  <dc:subject>07.4.01.03. БланкФедеральной налоговой службы</dc:subject>
  <dc:title>СПРАВОЧНИК IP-ТЕЛЕФОНОВ</dc:title>
  <dcterms:created xsi:type="dcterms:W3CDTF">2021-12-23T01:17:56Z</dcterms:created>
  <dcterms:modified xsi:type="dcterms:W3CDTF">2021-12-23T01:17:56Z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